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D5" w:rsidRDefault="003A3381" w:rsidP="001E1BD5">
      <w:pPr>
        <w:jc w:val="center"/>
        <w:rPr>
          <w:b/>
          <w:sz w:val="26"/>
          <w:szCs w:val="26"/>
        </w:rPr>
      </w:pPr>
      <w:r>
        <w:rPr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3.45pt;height:63.15pt;z-index:-251658752;mso-wrap-distance-left:9.05pt;mso-wrap-distance-right:9.05pt;mso-position-horizontal:center;mso-position-horizontal-relative:margin;mso-position-vertical:top;mso-position-vertical-relative:margin" filled="t">
            <v:fill color2="black"/>
            <v:imagedata r:id="rId7" o:title=""/>
            <w10:wrap type="square" anchorx="margin" anchory="margin"/>
          </v:shape>
          <o:OLEObject Type="Embed" ProgID="Microsoft" ShapeID="_x0000_s1026" DrawAspect="Content" ObjectID="_1595838378" r:id="rId8"/>
        </w:object>
      </w:r>
    </w:p>
    <w:p w:rsidR="001E1BD5" w:rsidRDefault="001E1BD5" w:rsidP="001E1BD5">
      <w:pPr>
        <w:jc w:val="center"/>
        <w:rPr>
          <w:b/>
          <w:sz w:val="26"/>
          <w:szCs w:val="26"/>
        </w:rPr>
      </w:pPr>
    </w:p>
    <w:p w:rsidR="001E1BD5" w:rsidRDefault="001E1BD5" w:rsidP="001E1BD5">
      <w:pPr>
        <w:jc w:val="center"/>
        <w:rPr>
          <w:b/>
          <w:sz w:val="26"/>
          <w:szCs w:val="26"/>
        </w:rPr>
      </w:pPr>
    </w:p>
    <w:p w:rsidR="001E1BD5" w:rsidRDefault="001E1BD5" w:rsidP="001E1BD5">
      <w:pPr>
        <w:jc w:val="center"/>
        <w:rPr>
          <w:b/>
          <w:sz w:val="26"/>
          <w:szCs w:val="26"/>
        </w:rPr>
      </w:pPr>
    </w:p>
    <w:p w:rsidR="001E1BD5" w:rsidRDefault="001E1BD5" w:rsidP="001E1BD5">
      <w:pPr>
        <w:jc w:val="center"/>
        <w:rPr>
          <w:b/>
          <w:sz w:val="26"/>
          <w:szCs w:val="26"/>
        </w:rPr>
      </w:pPr>
    </w:p>
    <w:p w:rsidR="001E1BD5" w:rsidRPr="00BA16E2" w:rsidRDefault="001E1BD5" w:rsidP="001E1BD5">
      <w:pPr>
        <w:pBdr>
          <w:bottom w:val="single" w:sz="12" w:space="1" w:color="auto"/>
        </w:pBdr>
        <w:jc w:val="center"/>
        <w:rPr>
          <w:b/>
          <w:szCs w:val="28"/>
        </w:rPr>
      </w:pPr>
      <w:r w:rsidRPr="00BA16E2">
        <w:rPr>
          <w:b/>
          <w:szCs w:val="28"/>
        </w:rPr>
        <w:t>УПРАВЛЕНИЕ СПЕЦИАЛЬНОЙ СВЯЗИ ПО ЧУВАШСКОЙ РЕСПУБЛИКЕ – ЧУВАШИИ</w:t>
      </w:r>
    </w:p>
    <w:p w:rsidR="001E1BD5" w:rsidRDefault="001E1BD5" w:rsidP="001E1BD5">
      <w:pPr>
        <w:rPr>
          <w:b/>
          <w:szCs w:val="28"/>
        </w:rPr>
      </w:pPr>
    </w:p>
    <w:p w:rsidR="00BA16E2" w:rsidRDefault="000F4000" w:rsidP="0056347F">
      <w:pPr>
        <w:rPr>
          <w:sz w:val="18"/>
          <w:szCs w:val="18"/>
        </w:rPr>
      </w:pPr>
      <w:r>
        <w:rPr>
          <w:szCs w:val="28"/>
        </w:rPr>
        <w:t xml:space="preserve">                                    </w:t>
      </w:r>
      <w:bookmarkStart w:id="0" w:name="_GoBack"/>
      <w:bookmarkEnd w:id="0"/>
    </w:p>
    <w:p w:rsidR="001E1BD5" w:rsidRPr="001E1BD5" w:rsidRDefault="001E1BD5" w:rsidP="001E1BD5">
      <w:pPr>
        <w:contextualSpacing/>
        <w:jc w:val="right"/>
        <w:rPr>
          <w:sz w:val="18"/>
          <w:szCs w:val="18"/>
        </w:rPr>
      </w:pPr>
      <w:r w:rsidRPr="001E1BD5">
        <w:rPr>
          <w:sz w:val="18"/>
          <w:szCs w:val="18"/>
        </w:rPr>
        <w:t>Приложение</w:t>
      </w:r>
    </w:p>
    <w:p w:rsidR="001E1BD5" w:rsidRDefault="001E1BD5" w:rsidP="001E1BD5">
      <w:pPr>
        <w:contextualSpacing/>
        <w:jc w:val="center"/>
      </w:pPr>
    </w:p>
    <w:p w:rsidR="001E1BD5" w:rsidRPr="001E1BD5" w:rsidRDefault="001E1BD5" w:rsidP="001E1BD5">
      <w:pPr>
        <w:contextualSpacing/>
        <w:jc w:val="center"/>
        <w:rPr>
          <w:b/>
          <w:sz w:val="18"/>
          <w:szCs w:val="18"/>
        </w:rPr>
      </w:pPr>
      <w:r w:rsidRPr="001E1BD5">
        <w:rPr>
          <w:b/>
          <w:sz w:val="18"/>
          <w:szCs w:val="18"/>
        </w:rPr>
        <w:t>ТАРИФЫ</w:t>
      </w:r>
    </w:p>
    <w:p w:rsidR="001E1BD5" w:rsidRPr="001E1BD5" w:rsidRDefault="001E1BD5" w:rsidP="001E1BD5">
      <w:pPr>
        <w:contextualSpacing/>
        <w:jc w:val="center"/>
        <w:rPr>
          <w:b/>
          <w:sz w:val="18"/>
          <w:szCs w:val="18"/>
        </w:rPr>
      </w:pPr>
      <w:r w:rsidRPr="001E1BD5">
        <w:rPr>
          <w:b/>
          <w:sz w:val="18"/>
          <w:szCs w:val="18"/>
        </w:rPr>
        <w:t>НА ДОСТАВКУ ОТПРАВЛЕНИЙ СПЕЦИАЛЬНОЙ СВЯЗИ</w:t>
      </w:r>
    </w:p>
    <w:p w:rsidR="001E1BD5" w:rsidRDefault="001E1BD5" w:rsidP="001E1BD5">
      <w:pPr>
        <w:contextualSpacing/>
        <w:jc w:val="center"/>
      </w:pPr>
    </w:p>
    <w:p w:rsidR="001E1BD5" w:rsidRPr="00C85F67" w:rsidRDefault="001E1BD5" w:rsidP="001E1BD5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C85F67">
        <w:rPr>
          <w:rFonts w:eastAsia="Calibri"/>
          <w:b/>
          <w:sz w:val="18"/>
          <w:szCs w:val="18"/>
          <w:lang w:eastAsia="en-US"/>
        </w:rPr>
        <w:t>Тарифы на доставку экспресс-отправлений по тарифу «Экспресс» между административными центрами, в которых располагаются управления специальной связи</w:t>
      </w:r>
    </w:p>
    <w:p w:rsidR="001E1BD5" w:rsidRPr="00C85F67" w:rsidRDefault="001E1BD5" w:rsidP="001E1BD5">
      <w:pPr>
        <w:spacing w:after="200" w:line="276" w:lineRule="auto"/>
        <w:ind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Данный тариф применяется к отправлениям весом до 0,5 кг включительно с документарным вложением. </w:t>
      </w: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Таблица № </w:t>
      </w:r>
      <w:r>
        <w:rPr>
          <w:rFonts w:eastAsia="Calibri"/>
          <w:sz w:val="18"/>
          <w:szCs w:val="18"/>
          <w:lang w:eastAsia="en-US"/>
        </w:rPr>
        <w:t>1</w:t>
      </w:r>
      <w:r w:rsidRPr="00C85F67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1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3"/>
        <w:gridCol w:w="1809"/>
      </w:tblGrid>
      <w:tr w:rsidR="001E1BD5" w:rsidRPr="00C85F67" w:rsidTr="009F3033">
        <w:trPr>
          <w:trHeight w:val="451"/>
        </w:trPr>
        <w:tc>
          <w:tcPr>
            <w:tcW w:w="793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Административные центры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Тариф, руб.</w:t>
            </w:r>
          </w:p>
        </w:tc>
      </w:tr>
      <w:tr w:rsidR="001E1BD5" w:rsidRPr="00C85F67" w:rsidTr="009F3033">
        <w:tc>
          <w:tcPr>
            <w:tcW w:w="7939" w:type="dxa"/>
            <w:shd w:val="clear" w:color="auto" w:fill="auto"/>
          </w:tcPr>
          <w:p w:rsidR="001E1BD5" w:rsidRPr="00C85F67" w:rsidRDefault="001E1BD5" w:rsidP="009F3033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Архангельск, Астрахань, Барнаул, Белгород, Брянск, Великий Новгород, Владикавказ, Владимир, Волгоград, Вологда, Воронеж, Горно-Алтайск, Екатеринбург, Иваново, Ижевск, Иркутск, Йошкар-Ола, Калининград, Казань, Калуга, Кемерово, Киров, Кострома, Красноярск, Краснодар, Курган, Курск, Липецк, Махачкала, Москва, Мурманск, Нальчик, Нижний Новгород, Новосибирск, Омск, Орел, Оренбург, Пенза, Пермь, Петрозаводск, Псков, Ростов-на-Дону, Рязань, Самара, Саранск, Саратов, Санкт-Петербург, Смоленск, Ставрополь, Сыктывкар, Тамбов, Тверь, Томск, Тула, Тюмень, Улан-Удэ, Ульяновск, Уфа, Чебоксары, Челябинск, Чита, Ярославль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350</w:t>
            </w:r>
          </w:p>
        </w:tc>
      </w:tr>
      <w:tr w:rsidR="001E1BD5" w:rsidRPr="00C85F67" w:rsidTr="009F3033">
        <w:tc>
          <w:tcPr>
            <w:tcW w:w="7939" w:type="dxa"/>
            <w:shd w:val="clear" w:color="auto" w:fill="auto"/>
          </w:tcPr>
          <w:p w:rsidR="001E1BD5" w:rsidRPr="00C85F67" w:rsidRDefault="001E1BD5" w:rsidP="009F3033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Благовещенск, Владивосток, Магадан, Петропавловск-Камчатский, Хабаровск, Южно-Сахалинск, Якутск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750</w:t>
            </w:r>
          </w:p>
        </w:tc>
      </w:tr>
    </w:tbl>
    <w:p w:rsidR="001E1BD5" w:rsidRPr="00C85F67" w:rsidRDefault="001E1BD5" w:rsidP="001E1BD5">
      <w:pPr>
        <w:ind w:left="905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1E1BD5" w:rsidRPr="00C85F67" w:rsidRDefault="001E1BD5" w:rsidP="001E1BD5">
      <w:pPr>
        <w:numPr>
          <w:ilvl w:val="1"/>
          <w:numId w:val="1"/>
        </w:numPr>
        <w:spacing w:before="60" w:after="200" w:line="260" w:lineRule="exact"/>
        <w:ind w:left="0" w:firstLine="709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C85F67">
        <w:rPr>
          <w:rFonts w:eastAsia="Calibri"/>
          <w:b/>
          <w:sz w:val="18"/>
          <w:szCs w:val="18"/>
          <w:lang w:eastAsia="en-US"/>
        </w:rPr>
        <w:t>Тарифы на доставку экспресс-отправлений для юридических лиц и индивидуальных предпринимателей</w:t>
      </w:r>
      <w:r>
        <w:rPr>
          <w:rFonts w:eastAsia="Calibri"/>
          <w:b/>
          <w:sz w:val="18"/>
          <w:szCs w:val="18"/>
          <w:lang w:eastAsia="en-US"/>
        </w:rPr>
        <w:t xml:space="preserve"> по тарифу «Экспресс» по России.</w:t>
      </w:r>
    </w:p>
    <w:p w:rsidR="001E1BD5" w:rsidRPr="00C85F67" w:rsidRDefault="001E1BD5" w:rsidP="001E1BD5">
      <w:pPr>
        <w:spacing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</w:p>
    <w:p w:rsidR="001E1BD5" w:rsidRPr="00C85F67" w:rsidRDefault="001E1BD5" w:rsidP="001E1BD5">
      <w:pPr>
        <w:spacing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Таблица № </w:t>
      </w:r>
      <w:r>
        <w:rPr>
          <w:rFonts w:eastAsia="Calibri"/>
          <w:sz w:val="18"/>
          <w:szCs w:val="18"/>
          <w:lang w:eastAsia="en-US"/>
        </w:rPr>
        <w:t>1</w:t>
      </w:r>
      <w:r w:rsidRPr="00C85F67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2</w:t>
      </w:r>
    </w:p>
    <w:tbl>
      <w:tblPr>
        <w:tblW w:w="516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70"/>
        <w:gridCol w:w="981"/>
        <w:gridCol w:w="981"/>
        <w:gridCol w:w="982"/>
        <w:gridCol w:w="981"/>
        <w:gridCol w:w="981"/>
        <w:gridCol w:w="982"/>
        <w:gridCol w:w="981"/>
        <w:gridCol w:w="892"/>
      </w:tblGrid>
      <w:tr w:rsidR="001E1BD5" w:rsidRPr="00C85F67" w:rsidTr="009F3033">
        <w:trPr>
          <w:trHeight w:val="644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br/>
              <w:t>0,5 кг, руб.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br/>
              <w:t>1 кг, руб.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br/>
              <w:t>2 кг, руб.</w:t>
            </w:r>
          </w:p>
        </w:tc>
        <w:tc>
          <w:tcPr>
            <w:tcW w:w="9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кг, руб.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9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 кг, руб.</w:t>
            </w:r>
          </w:p>
        </w:tc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 кг, руб.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0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497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651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859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1 166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1 588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679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910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1 176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2 170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1 312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1 758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2 431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1 014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1 111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1 613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2 379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3 601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1 026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1 155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1 398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2 926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4 272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1 203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1 339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1 690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2 484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3 669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5 333</w:t>
            </w:r>
          </w:p>
        </w:tc>
      </w:tr>
      <w:tr w:rsidR="001E1BD5" w:rsidRPr="00C85F67" w:rsidTr="009F3033">
        <w:trPr>
          <w:trHeight w:val="322"/>
        </w:trPr>
        <w:tc>
          <w:tcPr>
            <w:tcW w:w="851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зона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1 487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1 981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3 055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4 641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7 500</w:t>
            </w:r>
          </w:p>
        </w:tc>
      </w:tr>
    </w:tbl>
    <w:p w:rsidR="001E1BD5" w:rsidRPr="00C85F67" w:rsidRDefault="001E1BD5" w:rsidP="001E1BD5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513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9"/>
        <w:gridCol w:w="830"/>
        <w:gridCol w:w="791"/>
        <w:gridCol w:w="791"/>
        <w:gridCol w:w="791"/>
        <w:gridCol w:w="789"/>
        <w:gridCol w:w="791"/>
        <w:gridCol w:w="791"/>
        <w:gridCol w:w="791"/>
        <w:gridCol w:w="942"/>
        <w:gridCol w:w="836"/>
      </w:tblGrid>
      <w:tr w:rsidR="001E1BD5" w:rsidRPr="00C85F67" w:rsidTr="009F3033">
        <w:trPr>
          <w:trHeight w:val="615"/>
        </w:trPr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21 кг, руб.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50 кг, руб.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75 кг, руб.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+1 кг свыше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 кг, руб.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</w:t>
            </w: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1 кг свыше</w:t>
            </w:r>
          </w:p>
        </w:tc>
        <w:tc>
          <w:tcPr>
            <w:tcW w:w="8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200 кг, руб.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</w:t>
            </w: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>1 кг свыше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300 кг, руб.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0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2 504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3 204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3 829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6 029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8 029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2 226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3 299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4 174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4 999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7 999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10 799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2 498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4 412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5 912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7 287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11 787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15 787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lastRenderedPageBreak/>
              <w:t>3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3 723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6 188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8 188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10 063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16 563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22 563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4 406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7 596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10 096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12 546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22 046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31 587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5 499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9 994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13 744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17 369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31 369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44 869</w:t>
            </w:r>
          </w:p>
        </w:tc>
      </w:tr>
      <w:tr w:rsidR="001E1BD5" w:rsidRPr="00C85F67" w:rsidTr="009F3033">
        <w:trPr>
          <w:trHeight w:val="307"/>
        </w:trPr>
        <w:tc>
          <w:tcPr>
            <w:tcW w:w="95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зона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7541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14 692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21 442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28 067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52 584</w:t>
            </w:r>
          </w:p>
        </w:tc>
        <w:tc>
          <w:tcPr>
            <w:tcW w:w="1060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936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74 584</w:t>
            </w:r>
          </w:p>
        </w:tc>
      </w:tr>
    </w:tbl>
    <w:p w:rsidR="001E1BD5" w:rsidRDefault="001E1BD5" w:rsidP="001E1BD5">
      <w:pPr>
        <w:spacing w:after="200" w:line="276" w:lineRule="auto"/>
        <w:ind w:left="108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1E1BD5" w:rsidRDefault="001E1BD5" w:rsidP="001E1BD5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EA73A1">
        <w:rPr>
          <w:rFonts w:eastAsia="Calibri"/>
          <w:b/>
          <w:sz w:val="18"/>
          <w:szCs w:val="18"/>
          <w:lang w:eastAsia="en-US"/>
        </w:rPr>
        <w:t>Тарифы на доставку стандартных отправлений, содержащих конфиденциальную, служебную информацию ограниченного распространения,</w:t>
      </w:r>
      <w:r w:rsidRPr="00EA73A1">
        <w:rPr>
          <w:rFonts w:eastAsia="Calibri"/>
          <w:sz w:val="18"/>
          <w:szCs w:val="18"/>
          <w:lang w:eastAsia="en-US"/>
        </w:rPr>
        <w:t xml:space="preserve"> </w:t>
      </w:r>
      <w:r w:rsidRPr="00EA73A1">
        <w:rPr>
          <w:rFonts w:eastAsia="Calibri"/>
          <w:b/>
          <w:sz w:val="18"/>
          <w:szCs w:val="18"/>
          <w:lang w:eastAsia="en-US"/>
        </w:rPr>
        <w:t>охраняемую законом РФ по территории РФ</w:t>
      </w:r>
    </w:p>
    <w:p w:rsidR="001E1BD5" w:rsidRDefault="001E1BD5" w:rsidP="001E1BD5">
      <w:pPr>
        <w:pStyle w:val="ab"/>
        <w:spacing w:after="200" w:line="276" w:lineRule="auto"/>
        <w:ind w:left="1080"/>
        <w:jc w:val="right"/>
        <w:rPr>
          <w:rFonts w:eastAsia="Calibri"/>
          <w:sz w:val="18"/>
          <w:szCs w:val="18"/>
          <w:lang w:eastAsia="en-US"/>
        </w:rPr>
      </w:pPr>
    </w:p>
    <w:p w:rsidR="001E1BD5" w:rsidRDefault="001E1BD5" w:rsidP="001E1BD5">
      <w:pPr>
        <w:pStyle w:val="ab"/>
        <w:spacing w:after="200" w:line="276" w:lineRule="auto"/>
        <w:ind w:left="1080"/>
        <w:jc w:val="right"/>
        <w:rPr>
          <w:rFonts w:eastAsia="Calibri"/>
          <w:sz w:val="18"/>
          <w:szCs w:val="18"/>
          <w:lang w:eastAsia="en-US"/>
        </w:rPr>
      </w:pPr>
    </w:p>
    <w:p w:rsidR="001E1BD5" w:rsidRDefault="001E1BD5" w:rsidP="001E1BD5">
      <w:pPr>
        <w:pStyle w:val="ab"/>
        <w:spacing w:after="200" w:line="276" w:lineRule="auto"/>
        <w:ind w:left="1080"/>
        <w:jc w:val="right"/>
        <w:rPr>
          <w:rFonts w:eastAsia="Calibri"/>
          <w:sz w:val="18"/>
          <w:szCs w:val="18"/>
          <w:lang w:eastAsia="en-US"/>
        </w:rPr>
      </w:pPr>
    </w:p>
    <w:p w:rsidR="001E1BD5" w:rsidRPr="00EA73A1" w:rsidRDefault="001E1BD5" w:rsidP="001E1BD5">
      <w:pPr>
        <w:pStyle w:val="ab"/>
        <w:spacing w:after="200" w:line="276" w:lineRule="auto"/>
        <w:ind w:left="1080"/>
        <w:jc w:val="right"/>
        <w:rPr>
          <w:rFonts w:eastAsia="Calibri"/>
          <w:sz w:val="18"/>
          <w:szCs w:val="18"/>
          <w:lang w:eastAsia="en-US"/>
        </w:rPr>
      </w:pPr>
      <w:r w:rsidRPr="00EA73A1">
        <w:rPr>
          <w:rFonts w:eastAsia="Calibri"/>
          <w:sz w:val="18"/>
          <w:szCs w:val="18"/>
          <w:lang w:eastAsia="en-US"/>
        </w:rPr>
        <w:t>Таблица № 1</w:t>
      </w:r>
      <w:r>
        <w:rPr>
          <w:rFonts w:eastAsia="Calibri"/>
          <w:sz w:val="18"/>
          <w:szCs w:val="18"/>
          <w:lang w:eastAsia="en-US"/>
        </w:rPr>
        <w:t>.3</w:t>
      </w:r>
    </w:p>
    <w:tbl>
      <w:tblPr>
        <w:tblW w:w="4922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58"/>
        <w:gridCol w:w="823"/>
        <w:gridCol w:w="822"/>
        <w:gridCol w:w="778"/>
        <w:gridCol w:w="867"/>
        <w:gridCol w:w="959"/>
        <w:gridCol w:w="867"/>
        <w:gridCol w:w="778"/>
        <w:gridCol w:w="822"/>
        <w:gridCol w:w="810"/>
      </w:tblGrid>
      <w:tr w:rsidR="001E1BD5" w:rsidRPr="00C85F67" w:rsidTr="009F3033">
        <w:trPr>
          <w:trHeight w:val="630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br/>
              <w:t>0,5 кг, руб.</w:t>
            </w:r>
          </w:p>
        </w:tc>
        <w:tc>
          <w:tcPr>
            <w:tcW w:w="82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br/>
              <w:t>1 кг, руб.</w:t>
            </w:r>
          </w:p>
        </w:tc>
        <w:tc>
          <w:tcPr>
            <w:tcW w:w="82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До </w:t>
            </w:r>
            <w:r w:rsidRPr="00C85F67">
              <w:rPr>
                <w:rFonts w:eastAsia="Calibri"/>
                <w:bCs/>
                <w:sz w:val="18"/>
                <w:szCs w:val="18"/>
                <w:lang w:eastAsia="en-US"/>
              </w:rPr>
              <w:br/>
              <w:t>2 кг, руб.</w:t>
            </w:r>
          </w:p>
        </w:tc>
        <w:tc>
          <w:tcPr>
            <w:tcW w:w="7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+ 1 кг свыше</w:t>
            </w:r>
          </w:p>
        </w:tc>
        <w:tc>
          <w:tcPr>
            <w:tcW w:w="8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кг, руб.</w:t>
            </w:r>
          </w:p>
        </w:tc>
        <w:tc>
          <w:tcPr>
            <w:tcW w:w="95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+ 1 кг свыше</w:t>
            </w:r>
          </w:p>
        </w:tc>
        <w:tc>
          <w:tcPr>
            <w:tcW w:w="8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 кг, руб.</w:t>
            </w:r>
          </w:p>
        </w:tc>
        <w:tc>
          <w:tcPr>
            <w:tcW w:w="7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+ 1 кг свыше</w:t>
            </w:r>
          </w:p>
        </w:tc>
        <w:tc>
          <w:tcPr>
            <w:tcW w:w="82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 кг, руб.</w:t>
            </w:r>
          </w:p>
        </w:tc>
        <w:tc>
          <w:tcPr>
            <w:tcW w:w="8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+ 1 кг свыше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0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804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1 091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2 297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6 555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846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1 159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2 448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6 931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685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1 259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2 847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9 720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712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1 394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3 373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11 841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1 158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1 675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4 160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15 316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996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1 109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1 391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2 182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5 843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21 183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165</w:t>
            </w:r>
          </w:p>
        </w:tc>
      </w:tr>
      <w:tr w:rsidR="001E1BD5" w:rsidRPr="00C85F67" w:rsidTr="009F3033">
        <w:trPr>
          <w:trHeight w:val="315"/>
        </w:trPr>
        <w:tc>
          <w:tcPr>
            <w:tcW w:w="836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 зона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1 094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1 221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2 650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7 021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28 736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189</w:t>
            </w:r>
          </w:p>
        </w:tc>
      </w:tr>
    </w:tbl>
    <w:p w:rsidR="001E1BD5" w:rsidRDefault="001E1BD5" w:rsidP="001E1BD5">
      <w:pPr>
        <w:spacing w:after="200" w:line="276" w:lineRule="auto"/>
        <w:ind w:left="108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1E1BD5" w:rsidRPr="00C85F67" w:rsidRDefault="001E1BD5" w:rsidP="001E1BD5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C85F67">
        <w:rPr>
          <w:rFonts w:eastAsia="Calibri"/>
          <w:b/>
          <w:sz w:val="18"/>
          <w:szCs w:val="18"/>
          <w:lang w:eastAsia="en-US"/>
        </w:rPr>
        <w:t>Тарифы на доставку отправлений в удаленные населенные пункты РФ</w:t>
      </w:r>
    </w:p>
    <w:p w:rsidR="001E1BD5" w:rsidRDefault="001E1BD5" w:rsidP="001E1BD5">
      <w:pPr>
        <w:spacing w:after="200" w:line="276" w:lineRule="auto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Для отправлений, адресованных в удаленные населенные пункты РФ, применяется дополнительный сбор за каждый полный или неполный килограмм веса отравления. Перечень удаленных населенных пунктов представлен в таблице № </w:t>
      </w:r>
      <w:r>
        <w:rPr>
          <w:rFonts w:eastAsia="Calibri"/>
          <w:sz w:val="18"/>
          <w:szCs w:val="18"/>
          <w:lang w:eastAsia="en-US"/>
        </w:rPr>
        <w:t>1</w:t>
      </w:r>
      <w:r w:rsidRPr="00C85F67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4</w:t>
      </w:r>
      <w:r w:rsidRPr="00C85F67">
        <w:rPr>
          <w:rFonts w:eastAsia="Calibri"/>
          <w:sz w:val="18"/>
          <w:szCs w:val="18"/>
          <w:lang w:eastAsia="en-US"/>
        </w:rPr>
        <w:t>.</w:t>
      </w:r>
    </w:p>
    <w:p w:rsidR="001E1BD5" w:rsidRPr="00C85F67" w:rsidRDefault="001E1BD5" w:rsidP="001E1BD5">
      <w:pPr>
        <w:spacing w:line="276" w:lineRule="auto"/>
        <w:ind w:firstLine="709"/>
        <w:jc w:val="right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Таблица </w:t>
      </w:r>
      <w:r>
        <w:rPr>
          <w:rFonts w:eastAsia="Calibri"/>
          <w:sz w:val="18"/>
          <w:szCs w:val="18"/>
          <w:lang w:eastAsia="en-US"/>
        </w:rPr>
        <w:t>1</w:t>
      </w:r>
      <w:r w:rsidRPr="00C85F67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4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949"/>
      </w:tblGrid>
      <w:tr w:rsidR="001E1BD5" w:rsidRPr="00C85F67" w:rsidTr="009F3033">
        <w:trPr>
          <w:tblHeader/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Размер сбора, руб. без НДС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Архангельская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Лешуконский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Лешуконское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Архангельская обл., Мезенский район, н. п. Мезень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Иркутская обл., Братский район, н. п. Братск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Усть-Кутский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Усть-Кут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Иркутская обл., Киренский район, н. п. Киренск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Бодайбинский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Бодайбо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Катангский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Ербогачен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Иркутская обл., Мамско-Чуйский район, н. п. Мама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Иркутская обл., Братский район. г. Вихоревка</w:t>
            </w:r>
          </w:p>
        </w:tc>
        <w:tc>
          <w:tcPr>
            <w:tcW w:w="1949" w:type="dxa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Иркутская обл., Усть-Илимский район. г. Усть-Илимск</w:t>
            </w:r>
          </w:p>
        </w:tc>
        <w:tc>
          <w:tcPr>
            <w:tcW w:w="1949" w:type="dxa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Казачинско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>-Ленский район. н. п. Казачинское</w:t>
            </w:r>
          </w:p>
        </w:tc>
        <w:tc>
          <w:tcPr>
            <w:tcW w:w="1949" w:type="dxa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Казачинско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>-Ленский район. п. Магистральный</w:t>
            </w:r>
          </w:p>
        </w:tc>
        <w:tc>
          <w:tcPr>
            <w:tcW w:w="1949" w:type="dxa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Иркутская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Нижнеилимский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район. г. Железногорск-Илимский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Камчатский край, Соболевский район, н. п. Соболево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Камчатский край,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Карагинский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Оссора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Камчатский край, н. п. Палана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Камчатский край,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Олюторский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Тиличики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Камчатский край,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Тигильский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Тигиль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285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Красноярский край,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Игарка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Красноярский край, Туруханский район, н. п. Туруханск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Красноярский край, Эвенкийский район, н. п. Тура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Красноярский край, Северо-Енисейский район, н. п. Северо-Енисейск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Красноярский край, н. п. Норильск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Красноярский край, Таймырский Долгано-Ненецкий район, н. п. Дудинка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lastRenderedPageBreak/>
              <w:t>Республика Коми, н. п. Усинск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86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Сахалинская обл.,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Охинский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Оха*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Сахалинская обл., Курильский район, н. п. Курильск*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Сахалинская обл., Северо-Курильский район, н. п. Северо-Курильск*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Сахалинская обл., Южно-Курильский район, н. п. Южно-Курильск*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Томская обл., н. п. Стрежевой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Ханты-Мансийский автономный округ, Белоярский район, н. п. Белоярский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Ханты-Мансийский автономный округ, Березовский район, н. п. Березово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Ямало-Ненецкий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Красноселькупский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Красноселькуп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322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Ямало-Ненецкий автономный округ, Тазовский район, н. п. Тазовский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Ямало-Ненецкий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Надымский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 Надым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Ямало-Ненецкий автономный округ, н. п. Новый Уренгой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Ямало-Ненецкий автономный округ, г. Салехард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454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Ямало-Ненецкий автономный округ,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Лабытнанги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454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Хабаровский край, Николаевский район, н. п. Николаевск-на-Амуре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89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Хабаровский край, Охотский район, н. п. Охотск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Чукотский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Билибинский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 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Билибино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406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Чукотский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Чаунский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Певек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Чукотский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Провиденский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 Провидения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318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Чукотский автономный округ, Чукотский район, н. п. Лаврентия</w:t>
            </w:r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325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Чукотский автономный округ,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Иультинский</w:t>
            </w:r>
            <w:proofErr w:type="spellEnd"/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 район, н. п. 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Эгвекинот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189</w:t>
            </w:r>
          </w:p>
        </w:tc>
      </w:tr>
      <w:tr w:rsidR="001E1BD5" w:rsidRPr="00C85F67" w:rsidTr="009F3033">
        <w:trPr>
          <w:jc w:val="center"/>
        </w:trPr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Чукотский автономный округ, н. п. </w:t>
            </w:r>
            <w:proofErr w:type="spellStart"/>
            <w:r w:rsidRPr="00C85F67">
              <w:rPr>
                <w:rFonts w:eastAsia="Calibri"/>
                <w:sz w:val="18"/>
                <w:szCs w:val="18"/>
                <w:lang w:eastAsia="en-US"/>
              </w:rPr>
              <w:t>Беринговский</w:t>
            </w:r>
            <w:proofErr w:type="spellEnd"/>
          </w:p>
        </w:tc>
        <w:tc>
          <w:tcPr>
            <w:tcW w:w="1949" w:type="dxa"/>
            <w:vAlign w:val="center"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152</w:t>
            </w:r>
          </w:p>
        </w:tc>
      </w:tr>
    </w:tbl>
    <w:p w:rsidR="001E1BD5" w:rsidRPr="00C85F67" w:rsidRDefault="001E1BD5" w:rsidP="001E1BD5">
      <w:pPr>
        <w:spacing w:line="276" w:lineRule="auto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* К доставке принимается только пакетная корреспонденция, при этом общий вес партии не должен превышать 20 кг.</w:t>
      </w:r>
    </w:p>
    <w:p w:rsidR="001E1BD5" w:rsidRPr="00C85F67" w:rsidRDefault="001E1BD5" w:rsidP="001E1BD5">
      <w:pPr>
        <w:spacing w:line="276" w:lineRule="auto"/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 </w:t>
      </w:r>
      <w:r w:rsidRPr="00C85F67">
        <w:rPr>
          <w:rFonts w:eastAsia="Calibri"/>
          <w:b/>
          <w:sz w:val="18"/>
          <w:szCs w:val="18"/>
          <w:lang w:eastAsia="en-US"/>
        </w:rPr>
        <w:t xml:space="preserve">Примечания к разделу 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Тарифы не распространяются на доставку в страны СНГ (включая страны Таможенного союза) и дальнего зарубежья.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Вес, превышающий указанный в таблице на любую долю килограмма, оплачивается как целый килограмм.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Тарифы, указанные в разделе, действуют в случае сбора/ доставки отправлений из/ в административные центры Российской Федерации. </w:t>
      </w:r>
    </w:p>
    <w:p w:rsidR="001E1BD5" w:rsidRPr="00C85F67" w:rsidRDefault="001E1BD5" w:rsidP="001E1BD5">
      <w:pPr>
        <w:spacing w:line="276" w:lineRule="auto"/>
        <w:ind w:firstLine="709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В случае сбора/ доставки отправлений из/ в другие населенные пункты Российской Федерации вводится повышающий коэффициент из таблицы № </w:t>
      </w:r>
      <w:r>
        <w:rPr>
          <w:rFonts w:eastAsia="Calibri"/>
          <w:sz w:val="18"/>
          <w:szCs w:val="18"/>
          <w:lang w:eastAsia="en-US"/>
        </w:rPr>
        <w:t>1</w:t>
      </w:r>
      <w:r w:rsidRPr="00C85F67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5</w:t>
      </w:r>
      <w:r w:rsidRPr="00C85F67">
        <w:rPr>
          <w:rFonts w:eastAsia="Calibri"/>
          <w:sz w:val="18"/>
          <w:szCs w:val="18"/>
          <w:lang w:eastAsia="en-US"/>
        </w:rPr>
        <w:t>.</w:t>
      </w: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Таблица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 xml:space="preserve"> № </w:t>
      </w:r>
      <w:r>
        <w:rPr>
          <w:rFonts w:eastAsia="Calibri"/>
          <w:bCs/>
          <w:color w:val="000000"/>
          <w:sz w:val="18"/>
          <w:szCs w:val="18"/>
          <w:lang w:eastAsia="en-US"/>
        </w:rPr>
        <w:t>1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>.</w:t>
      </w:r>
      <w:r>
        <w:rPr>
          <w:rFonts w:eastAsia="Calibri"/>
          <w:bCs/>
          <w:color w:val="000000"/>
          <w:sz w:val="18"/>
          <w:szCs w:val="18"/>
          <w:lang w:eastAsia="en-US"/>
        </w:rPr>
        <w:t>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686"/>
      </w:tblGrid>
      <w:tr w:rsidR="001E1BD5" w:rsidRPr="00C85F67" w:rsidTr="009F3033">
        <w:tc>
          <w:tcPr>
            <w:tcW w:w="552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Место сбора/доставки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Повышающий коэффициент</w:t>
            </w:r>
          </w:p>
        </w:tc>
      </w:tr>
      <w:tr w:rsidR="001E1BD5" w:rsidRPr="00C85F67" w:rsidTr="009F3033">
        <w:tc>
          <w:tcPr>
            <w:tcW w:w="552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……………* область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1,15</w:t>
            </w:r>
          </w:p>
        </w:tc>
      </w:tr>
      <w:tr w:rsidR="001E1BD5" w:rsidRPr="00C85F67" w:rsidTr="009F3033">
        <w:tc>
          <w:tcPr>
            <w:tcW w:w="5528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Другие области Российской Федерации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1,25</w:t>
            </w:r>
          </w:p>
        </w:tc>
      </w:tr>
    </w:tbl>
    <w:p w:rsidR="001E1BD5" w:rsidRPr="00C85F67" w:rsidRDefault="001E1BD5" w:rsidP="001E1BD5">
      <w:pPr>
        <w:spacing w:after="200" w:line="276" w:lineRule="auto"/>
        <w:ind w:left="142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>*указывается область местонахождения филиала</w:t>
      </w:r>
    </w:p>
    <w:p w:rsidR="001E1BD5" w:rsidRPr="00C85F67" w:rsidRDefault="001E1BD5" w:rsidP="001E1BD5">
      <w:pPr>
        <w:spacing w:after="200" w:line="276" w:lineRule="auto"/>
        <w:ind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bCs/>
          <w:sz w:val="18"/>
          <w:szCs w:val="18"/>
          <w:lang w:eastAsia="en-US"/>
        </w:rPr>
        <w:t>Примечание: при сборе и доставке из/ в населенные пункты внутри одного субъекта (области, края, республики)</w:t>
      </w:r>
      <w:r w:rsidRPr="00C85F67">
        <w:rPr>
          <w:rFonts w:eastAsia="Calibri"/>
          <w:sz w:val="18"/>
          <w:szCs w:val="18"/>
          <w:lang w:eastAsia="en-US"/>
        </w:rPr>
        <w:t xml:space="preserve"> к тарифу 0 зоны</w:t>
      </w:r>
      <w:r w:rsidRPr="00C85F67">
        <w:rPr>
          <w:rFonts w:eastAsia="Calibri"/>
          <w:bCs/>
          <w:sz w:val="18"/>
          <w:szCs w:val="18"/>
          <w:lang w:eastAsia="en-US"/>
        </w:rPr>
        <w:t xml:space="preserve"> однократно применяется коэффициент 1,15. При сборе и доставке из населенного пункта одного субъекта (области, края, республики) в населенный пункт другого субъекта применяются коэффициенты 1,15 и 1,25.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bCs/>
          <w:sz w:val="18"/>
          <w:szCs w:val="18"/>
          <w:lang w:eastAsia="en-US"/>
        </w:rPr>
        <w:t xml:space="preserve">При отправке отправлений с вложением ювелирных изделий, драгоценных металлов и драгоценных камней с оценочной стоимостью применяется сбор, указанный в таблице № </w:t>
      </w:r>
      <w:r>
        <w:rPr>
          <w:rFonts w:eastAsia="Calibri"/>
          <w:bCs/>
          <w:sz w:val="18"/>
          <w:szCs w:val="18"/>
          <w:lang w:eastAsia="en-US"/>
        </w:rPr>
        <w:t>1</w:t>
      </w:r>
      <w:r w:rsidRPr="00C85F67">
        <w:rPr>
          <w:rFonts w:eastAsia="Calibri"/>
          <w:bCs/>
          <w:sz w:val="18"/>
          <w:szCs w:val="18"/>
          <w:lang w:eastAsia="en-US"/>
        </w:rPr>
        <w:t>.</w:t>
      </w:r>
      <w:r>
        <w:rPr>
          <w:rFonts w:eastAsia="Calibri"/>
          <w:bCs/>
          <w:sz w:val="18"/>
          <w:szCs w:val="18"/>
          <w:lang w:eastAsia="en-US"/>
        </w:rPr>
        <w:t>6.</w:t>
      </w: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sz w:val="18"/>
          <w:szCs w:val="18"/>
          <w:lang w:eastAsia="en-US"/>
        </w:rPr>
      </w:pPr>
    </w:p>
    <w:p w:rsidR="001E1BD5" w:rsidRPr="00C85F67" w:rsidRDefault="001E1BD5" w:rsidP="001E1BD5">
      <w:pPr>
        <w:spacing w:after="120" w:line="276" w:lineRule="auto"/>
        <w:ind w:left="1440"/>
        <w:contextualSpacing/>
        <w:jc w:val="right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Таблица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 xml:space="preserve"> № </w:t>
      </w:r>
      <w:r>
        <w:rPr>
          <w:rFonts w:eastAsia="Calibri"/>
          <w:bCs/>
          <w:color w:val="000000"/>
          <w:sz w:val="18"/>
          <w:szCs w:val="18"/>
          <w:lang w:eastAsia="en-US"/>
        </w:rPr>
        <w:t>1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>.</w:t>
      </w:r>
      <w:r>
        <w:rPr>
          <w:rFonts w:eastAsia="Calibri"/>
          <w:bCs/>
          <w:color w:val="000000"/>
          <w:sz w:val="18"/>
          <w:szCs w:val="18"/>
          <w:lang w:eastAsia="en-US"/>
        </w:rPr>
        <w:t>6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1E1BD5" w:rsidRPr="00C85F67" w:rsidTr="009F3033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Оценочная стоимость,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Тариф, руб.</w:t>
            </w:r>
          </w:p>
        </w:tc>
      </w:tr>
      <w:tr w:rsidR="001E1BD5" w:rsidRPr="00C85F67" w:rsidTr="009F3033">
        <w:trPr>
          <w:trHeight w:val="250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До 14 999 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200 руб. </w:t>
            </w:r>
          </w:p>
        </w:tc>
      </w:tr>
      <w:tr w:rsidR="001E1BD5" w:rsidRPr="00C85F67" w:rsidTr="009F3033">
        <w:trPr>
          <w:trHeight w:val="270"/>
        </w:trPr>
        <w:tc>
          <w:tcPr>
            <w:tcW w:w="3544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15 000 до 24 999 руб.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500 руб.</w:t>
            </w:r>
          </w:p>
        </w:tc>
      </w:tr>
      <w:tr w:rsidR="001E1BD5" w:rsidRPr="00C85F67" w:rsidTr="009F3033">
        <w:trPr>
          <w:trHeight w:val="264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25 000 до 49 999</w:t>
            </w:r>
            <w:r w:rsidRPr="00C85F67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C85F67">
              <w:rPr>
                <w:rFonts w:eastAsia="Calibri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1000 руб.</w:t>
            </w:r>
          </w:p>
        </w:tc>
      </w:tr>
      <w:tr w:rsidR="001E1BD5" w:rsidRPr="00C85F67" w:rsidTr="009F3033">
        <w:trPr>
          <w:trHeight w:val="272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50 000 до 149 999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1000 руб.+1,0% с суммы, превышающей 50 000 руб.</w:t>
            </w:r>
          </w:p>
        </w:tc>
      </w:tr>
      <w:tr w:rsidR="001E1BD5" w:rsidRPr="00C85F67" w:rsidTr="009F3033">
        <w:trPr>
          <w:trHeight w:val="224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150 000 до 499 999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2000 + 0,5% с суммы, превышающей 150 000 руб.</w:t>
            </w:r>
          </w:p>
        </w:tc>
      </w:tr>
      <w:tr w:rsidR="001E1BD5" w:rsidRPr="00C85F67" w:rsidTr="009F3033">
        <w:trPr>
          <w:trHeight w:val="232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500 000 до  999 999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3 750 + 0,3% с суммы, превышающей 500 000 руб.</w:t>
            </w:r>
          </w:p>
        </w:tc>
      </w:tr>
      <w:tr w:rsidR="001E1BD5" w:rsidRPr="00C85F67" w:rsidTr="009F3033">
        <w:trPr>
          <w:trHeight w:val="325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1 000 000 до 1 999 999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5 250 + 0,2% с суммы, превышающей 1 000 000 руб.</w:t>
            </w:r>
          </w:p>
        </w:tc>
      </w:tr>
      <w:tr w:rsidR="001E1BD5" w:rsidRPr="00C85F67" w:rsidTr="009F3033">
        <w:trPr>
          <w:trHeight w:val="263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2 000 000 до 4 999 999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7 250 + 0,15% с суммы, превышающей 2 000 000 руб.</w:t>
            </w:r>
          </w:p>
        </w:tc>
      </w:tr>
      <w:tr w:rsidR="001E1BD5" w:rsidRPr="00C85F67" w:rsidTr="009F3033">
        <w:trPr>
          <w:trHeight w:val="269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5 000 000 до 9 999 999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 xml:space="preserve">11 750 + 0,1% с суммы, превышающей 5 000 000 руб. </w:t>
            </w:r>
          </w:p>
        </w:tc>
      </w:tr>
      <w:tr w:rsidR="001E1BD5" w:rsidRPr="00C85F67" w:rsidTr="009F3033">
        <w:trPr>
          <w:trHeight w:val="305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lastRenderedPageBreak/>
              <w:t>От 10 000 000 до 19 999 999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16 750 + 0,05% с суммы, превышающей 10 000 000 руб.</w:t>
            </w:r>
          </w:p>
        </w:tc>
      </w:tr>
      <w:tr w:rsidR="001E1BD5" w:rsidRPr="00C85F67" w:rsidTr="009F3033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От 20 000 000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E1BD5" w:rsidRPr="00C85F67" w:rsidRDefault="001E1BD5" w:rsidP="009F30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F67">
              <w:rPr>
                <w:rFonts w:eastAsia="Calibri"/>
                <w:sz w:val="18"/>
                <w:szCs w:val="18"/>
                <w:lang w:eastAsia="en-US"/>
              </w:rPr>
              <w:t>21 750 + 0,04% с суммы, превышающей 20 000 000 руб.</w:t>
            </w:r>
          </w:p>
        </w:tc>
      </w:tr>
    </w:tbl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>Некоторые предметы имеют большой объем, но малый физический вес. В случае если объемный вес отправления превышает физический, тариф на доставку определяется по объемному весу.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 xml:space="preserve">Объемный вес отправления определяется следующим образом: </w:t>
      </w:r>
    </w:p>
    <w:p w:rsidR="001E1BD5" w:rsidRPr="00C85F67" w:rsidRDefault="001E1BD5" w:rsidP="001E1BD5">
      <w:pPr>
        <w:spacing w:after="200" w:line="276" w:lineRule="auto"/>
        <w:ind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>Для коробки - объёмный вес (кг) = (длина (см) × ширина (см) × высота (см)) / 6000.</w:t>
      </w:r>
    </w:p>
    <w:p w:rsidR="001E1BD5" w:rsidRPr="00C85F67" w:rsidRDefault="001E1BD5" w:rsidP="001E1BD5">
      <w:pPr>
        <w:spacing w:after="200" w:line="276" w:lineRule="auto"/>
        <w:ind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>Для рулона - объёмный вес (кг) = (площадь круга (см</w:t>
      </w:r>
      <w:r w:rsidRPr="00C85F67">
        <w:rPr>
          <w:rFonts w:eastAsia="Calibri"/>
          <w:bCs/>
          <w:color w:val="000000"/>
          <w:sz w:val="18"/>
          <w:szCs w:val="18"/>
          <w:vertAlign w:val="superscript"/>
          <w:lang w:eastAsia="en-US"/>
        </w:rPr>
        <w:t>2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 xml:space="preserve">) × высота (см)) / 6000. </w:t>
      </w:r>
    </w:p>
    <w:p w:rsidR="001E1BD5" w:rsidRPr="00C85F67" w:rsidRDefault="001E1BD5" w:rsidP="001E1BD5">
      <w:pPr>
        <w:spacing w:after="200" w:line="276" w:lineRule="auto"/>
        <w:ind w:firstLine="709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85F67">
        <w:rPr>
          <w:rFonts w:eastAsia="Calibri"/>
          <w:bCs/>
          <w:color w:val="000000"/>
          <w:sz w:val="18"/>
          <w:szCs w:val="18"/>
          <w:lang w:eastAsia="en-US"/>
        </w:rPr>
        <w:t>Площадь круга = πR</w:t>
      </w:r>
      <w:r w:rsidRPr="00C85F67">
        <w:rPr>
          <w:rFonts w:eastAsia="Calibri"/>
          <w:bCs/>
          <w:color w:val="000000"/>
          <w:sz w:val="18"/>
          <w:szCs w:val="18"/>
          <w:vertAlign w:val="superscript"/>
          <w:lang w:eastAsia="en-US"/>
        </w:rPr>
        <w:t>2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>, где R - радиус круга (см), π=3,14.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bCs/>
          <w:sz w:val="18"/>
          <w:szCs w:val="18"/>
          <w:lang w:eastAsia="en-US"/>
        </w:rPr>
        <w:t>Срок доставки отправления, вес которого превышает 50 кг, может быть увеличен в зависимости от направления и фактических габаритов отправления.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bCs/>
          <w:sz w:val="18"/>
          <w:szCs w:val="18"/>
          <w:lang w:eastAsia="en-US"/>
        </w:rPr>
        <w:t>Предельный вес отправления не должен превышать 300 кг, а габариты  должны составлять не более (в см) 200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>×</w:t>
      </w:r>
      <w:r w:rsidRPr="00C85F67">
        <w:rPr>
          <w:rFonts w:eastAsia="Calibri"/>
          <w:bCs/>
          <w:sz w:val="18"/>
          <w:szCs w:val="18"/>
          <w:lang w:eastAsia="en-US"/>
        </w:rPr>
        <w:t>100</w:t>
      </w:r>
      <w:r w:rsidRPr="00C85F67">
        <w:rPr>
          <w:rFonts w:eastAsia="Calibri"/>
          <w:bCs/>
          <w:color w:val="000000"/>
          <w:sz w:val="18"/>
          <w:szCs w:val="18"/>
          <w:lang w:eastAsia="en-US"/>
        </w:rPr>
        <w:t>×</w:t>
      </w:r>
      <w:r w:rsidRPr="00C85F67">
        <w:rPr>
          <w:rFonts w:eastAsia="Calibri"/>
          <w:bCs/>
          <w:sz w:val="18"/>
          <w:szCs w:val="18"/>
          <w:lang w:eastAsia="en-US"/>
        </w:rPr>
        <w:t>75 см.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bCs/>
          <w:sz w:val="18"/>
          <w:szCs w:val="18"/>
          <w:lang w:eastAsia="en-US"/>
        </w:rPr>
        <w:t xml:space="preserve">В случае если габаритные размеры отправления по одной из сторон превышают 200 см и/или физический вес места превышает 300 кг, </w:t>
      </w:r>
      <w:r w:rsidRPr="00C85F67">
        <w:rPr>
          <w:rFonts w:eastAsia="Calibri"/>
          <w:sz w:val="18"/>
          <w:szCs w:val="18"/>
          <w:lang w:eastAsia="en-US"/>
        </w:rPr>
        <w:t xml:space="preserve">доставка отправлений осуществляется по предварительному согласованию, а </w:t>
      </w:r>
      <w:r w:rsidRPr="00C85F67">
        <w:rPr>
          <w:rFonts w:eastAsia="Calibri"/>
          <w:bCs/>
          <w:sz w:val="18"/>
          <w:szCs w:val="18"/>
          <w:lang w:eastAsia="en-US"/>
        </w:rPr>
        <w:t>к тарифам применяется повышающий коэффициент 1,5.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 xml:space="preserve">Расчет стоимости по указанным в разделе тарифам производится за каждое принятое к доставке отправление, кроме случаев отправки неделимой партии, оформленной по одной накладной в адрес одного получателя. В этом случае расчет стоимости производится по общему весу всей партии и общей оценочной стоимости (если указана). При этом если объемный вес отправления превышает физический, то расчет производится по объемному весу. В случае если габаритные размеры хотя бы одного отправления из партии по одной из сторон превышают 200 см и/или физический вес места превышает 300 кг, к тарифу однократно применяется повышающий коэффициент 1,5. Согласно Технологическому регламенту предоставления услуг по экспресс-доставке отправлений специальной связи, утвержденному приказом ФГУП ГЦСС от </w:t>
      </w:r>
      <w:r>
        <w:rPr>
          <w:rFonts w:eastAsia="Calibri"/>
          <w:sz w:val="18"/>
          <w:szCs w:val="18"/>
          <w:lang w:eastAsia="en-US"/>
        </w:rPr>
        <w:t xml:space="preserve"> 03.03.2017 </w:t>
      </w:r>
      <w:r w:rsidRPr="00C85F67">
        <w:rPr>
          <w:rFonts w:eastAsia="Calibri"/>
          <w:sz w:val="18"/>
          <w:szCs w:val="18"/>
          <w:lang w:eastAsia="en-US"/>
        </w:rPr>
        <w:t xml:space="preserve"> № </w:t>
      </w:r>
      <w:r>
        <w:rPr>
          <w:rFonts w:eastAsia="Calibri"/>
          <w:sz w:val="18"/>
          <w:szCs w:val="18"/>
          <w:lang w:eastAsia="en-US"/>
        </w:rPr>
        <w:t>37</w:t>
      </w:r>
      <w:r w:rsidRPr="00C85F67">
        <w:rPr>
          <w:rFonts w:eastAsia="Calibri"/>
          <w:sz w:val="18"/>
          <w:szCs w:val="18"/>
          <w:lang w:eastAsia="en-US"/>
        </w:rPr>
        <w:t xml:space="preserve">, неделимой партией считаются экспресс-отправления (кроме пакетов) в количестве 2-99 отправлений, принимаемые к доставке по одной экспресс-накладной на весь консолидированный груз от одного отправителя и адресованные одному получателю. При внесении изменений в Технологический регламент в части, касающейся определения неделимой партии экспресс-отправлений, в работе необходимо учитывать данные изменения.  </w:t>
      </w:r>
    </w:p>
    <w:p w:rsidR="001E1BD5" w:rsidRPr="00C85F67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C85F67">
        <w:rPr>
          <w:rFonts w:eastAsia="Calibri"/>
          <w:sz w:val="18"/>
          <w:szCs w:val="18"/>
          <w:lang w:eastAsia="en-US"/>
        </w:rPr>
        <w:t>Дополнительная плата за предоставление заказчику пластиковых пакетов «</w:t>
      </w:r>
      <w:proofErr w:type="spellStart"/>
      <w:r w:rsidRPr="00C85F67">
        <w:rPr>
          <w:rFonts w:eastAsia="Calibri"/>
          <w:sz w:val="18"/>
          <w:szCs w:val="18"/>
          <w:lang w:eastAsia="en-US"/>
        </w:rPr>
        <w:t>Секьюрпак</w:t>
      </w:r>
      <w:proofErr w:type="spellEnd"/>
      <w:r w:rsidRPr="00C85F67">
        <w:rPr>
          <w:rFonts w:eastAsia="Calibri"/>
          <w:sz w:val="18"/>
          <w:szCs w:val="18"/>
          <w:lang w:eastAsia="en-US"/>
        </w:rPr>
        <w:t xml:space="preserve">» не взимается. </w:t>
      </w:r>
    </w:p>
    <w:p w:rsidR="001E1BD5" w:rsidRDefault="001E1BD5" w:rsidP="001E1BD5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Тарифы, приведенные в разделе</w:t>
      </w:r>
      <w:r w:rsidRPr="00C85F67">
        <w:rPr>
          <w:rFonts w:eastAsia="Calibri"/>
          <w:sz w:val="18"/>
          <w:szCs w:val="18"/>
          <w:lang w:eastAsia="en-US"/>
        </w:rPr>
        <w:t>, указаны без учета НДС.</w:t>
      </w:r>
    </w:p>
    <w:p w:rsidR="001E1BD5" w:rsidRDefault="001E1BD5" w:rsidP="001E1BD5">
      <w:pPr>
        <w:tabs>
          <w:tab w:val="left" w:pos="708"/>
          <w:tab w:val="left" w:pos="1416"/>
          <w:tab w:val="left" w:pos="2110"/>
        </w:tabs>
        <w:ind w:firstLine="709"/>
        <w:jc w:val="both"/>
      </w:pPr>
    </w:p>
    <w:p w:rsidR="001E1BD5" w:rsidRDefault="001E1BD5" w:rsidP="001E1BD5">
      <w:pPr>
        <w:tabs>
          <w:tab w:val="left" w:pos="708"/>
          <w:tab w:val="left" w:pos="1416"/>
          <w:tab w:val="left" w:pos="2110"/>
        </w:tabs>
        <w:ind w:firstLine="709"/>
        <w:jc w:val="both"/>
      </w:pPr>
    </w:p>
    <w:p w:rsidR="001E1BD5" w:rsidRPr="00F163D5" w:rsidRDefault="001E1BD5" w:rsidP="001E1BD5">
      <w:pPr>
        <w:jc w:val="center"/>
        <w:rPr>
          <w:b/>
          <w:sz w:val="24"/>
        </w:rPr>
      </w:pPr>
      <w:r w:rsidRPr="00F163D5">
        <w:rPr>
          <w:b/>
          <w:sz w:val="24"/>
          <w:lang w:val="en-US"/>
        </w:rPr>
        <w:t>C</w:t>
      </w:r>
      <w:r w:rsidRPr="00F163D5">
        <w:rPr>
          <w:b/>
          <w:sz w:val="24"/>
        </w:rPr>
        <w:t>роки доставки отправлений специальной связи (из</w:t>
      </w:r>
      <w:r>
        <w:rPr>
          <w:b/>
          <w:sz w:val="24"/>
        </w:rPr>
        <w:t>/в</w:t>
      </w:r>
      <w:r w:rsidRPr="00F163D5">
        <w:rPr>
          <w:b/>
          <w:sz w:val="24"/>
        </w:rPr>
        <w:t xml:space="preserve"> Москвы)</w:t>
      </w:r>
    </w:p>
    <w:p w:rsidR="001E1BD5" w:rsidRDefault="001E1BD5" w:rsidP="001E1BD5">
      <w:pPr>
        <w:jc w:val="both"/>
        <w:rPr>
          <w:b/>
          <w:sz w:val="22"/>
          <w:szCs w:val="22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992"/>
        <w:gridCol w:w="2126"/>
        <w:gridCol w:w="2125"/>
      </w:tblGrid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Сроки доставки экспресс-отправлений, сутки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Сроки доставки стандартных отправлений, сутки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Анадырь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Архангельск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Астрахань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Благовещенск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Брянск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Великий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Владикавказ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Вологда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Калуга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Керчь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Кострома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Курск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Кызыл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Липецк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Магадан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Майкоп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Махачкала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Нальчик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Орел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Петрозаводск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Петропавловск-Камчатский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Псков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Рязань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Салехард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Симферополь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Сыктывкар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Улан-Удэ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Хабаровск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5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Черкесск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Чита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Элиста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Якутск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7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Ялта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1E1BD5" w:rsidRPr="00D12B32" w:rsidTr="009F3033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5" w:rsidRPr="00D12B32" w:rsidRDefault="001E1BD5" w:rsidP="009F3033">
            <w:pPr>
              <w:jc w:val="center"/>
              <w:rPr>
                <w:color w:val="000000"/>
                <w:sz w:val="18"/>
                <w:szCs w:val="18"/>
              </w:rPr>
            </w:pPr>
            <w:r w:rsidRPr="00D12B32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1E1BD5" w:rsidRPr="00E37973" w:rsidRDefault="001E1BD5" w:rsidP="001E1BD5">
      <w:pPr>
        <w:jc w:val="both"/>
        <w:rPr>
          <w:color w:val="000000"/>
          <w:sz w:val="18"/>
          <w:szCs w:val="18"/>
        </w:rPr>
      </w:pPr>
      <w:r w:rsidRPr="00E37973">
        <w:rPr>
          <w:color w:val="000000"/>
          <w:sz w:val="18"/>
          <w:szCs w:val="18"/>
        </w:rPr>
        <w:t>Примечание: сроки указаны без учета дня приема отправлени</w:t>
      </w:r>
      <w:r>
        <w:rPr>
          <w:color w:val="000000"/>
          <w:sz w:val="18"/>
          <w:szCs w:val="18"/>
        </w:rPr>
        <w:t>й, выходных и праздничных дней.</w:t>
      </w:r>
    </w:p>
    <w:p w:rsidR="001E1BD5" w:rsidRPr="002F6B33" w:rsidRDefault="001E1BD5" w:rsidP="001E1BD5">
      <w:pPr>
        <w:ind w:firstLine="567"/>
        <w:jc w:val="both"/>
      </w:pPr>
    </w:p>
    <w:p w:rsidR="001E1BD5" w:rsidRPr="002F6B33" w:rsidRDefault="001E1BD5" w:rsidP="001E1BD5"/>
    <w:p w:rsidR="001E1BD5" w:rsidRPr="008C2AC7" w:rsidRDefault="001E1BD5" w:rsidP="001E1BD5">
      <w:pPr>
        <w:tabs>
          <w:tab w:val="left" w:pos="708"/>
          <w:tab w:val="left" w:pos="1416"/>
          <w:tab w:val="left" w:pos="2110"/>
        </w:tabs>
        <w:ind w:firstLine="709"/>
        <w:jc w:val="both"/>
      </w:pPr>
    </w:p>
    <w:p w:rsidR="001E1BD5" w:rsidRPr="004F4265" w:rsidRDefault="001E1BD5" w:rsidP="001E1BD5">
      <w:pPr>
        <w:tabs>
          <w:tab w:val="left" w:pos="708"/>
          <w:tab w:val="left" w:pos="1416"/>
          <w:tab w:val="left" w:pos="2110"/>
        </w:tabs>
        <w:ind w:firstLine="709"/>
        <w:jc w:val="both"/>
        <w:rPr>
          <w:szCs w:val="28"/>
        </w:rPr>
      </w:pPr>
    </w:p>
    <w:p w:rsidR="001E1BD5" w:rsidRDefault="001E1BD5" w:rsidP="001E1BD5">
      <w:pPr>
        <w:ind w:firstLine="708"/>
        <w:jc w:val="both"/>
        <w:rPr>
          <w:rFonts w:eastAsiaTheme="minorHAnsi"/>
          <w:bCs/>
          <w:lang w:eastAsia="en-US"/>
        </w:rPr>
        <w:sectPr w:rsidR="001E1B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BD5" w:rsidRDefault="001E1BD5" w:rsidP="001E1BD5">
      <w:pPr>
        <w:ind w:firstLine="708"/>
        <w:jc w:val="center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lastRenderedPageBreak/>
        <w:t xml:space="preserve">                                     </w:t>
      </w:r>
      <w:r w:rsidRPr="001E1BD5">
        <w:rPr>
          <w:rFonts w:eastAsiaTheme="minorHAnsi"/>
          <w:b/>
          <w:sz w:val="18"/>
          <w:szCs w:val="18"/>
          <w:lang w:eastAsia="en-US"/>
        </w:rPr>
        <w:t>Зональное распределение городов</w:t>
      </w:r>
    </w:p>
    <w:p w:rsidR="001E1BD5" w:rsidRPr="001E1BD5" w:rsidRDefault="001E1BD5" w:rsidP="001E1BD5">
      <w:pPr>
        <w:ind w:firstLine="708"/>
        <w:jc w:val="center"/>
        <w:rPr>
          <w:sz w:val="18"/>
          <w:szCs w:val="18"/>
        </w:rPr>
      </w:pPr>
    </w:p>
    <w:p w:rsidR="00A77818" w:rsidRDefault="003A3381" w:rsidP="001E1BD5">
      <w:pPr>
        <w:jc w:val="both"/>
      </w:pPr>
    </w:p>
    <w:p w:rsidR="001E1BD5" w:rsidRDefault="001E1BD5" w:rsidP="001E1BD5">
      <w:pPr>
        <w:jc w:val="both"/>
      </w:pPr>
      <w:r w:rsidRPr="00174A09">
        <w:rPr>
          <w:noProof/>
          <w:lang w:eastAsia="ru-RU"/>
        </w:rPr>
        <w:drawing>
          <wp:inline distT="0" distB="0" distL="0" distR="0" wp14:anchorId="1D61C392" wp14:editId="4A987ABA">
            <wp:extent cx="9054797" cy="4847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9" cy="48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D5" w:rsidRDefault="001E1BD5" w:rsidP="001E1BD5">
      <w:pPr>
        <w:jc w:val="both"/>
      </w:pPr>
    </w:p>
    <w:p w:rsidR="001E1BD5" w:rsidRDefault="001E1BD5"/>
    <w:p w:rsidR="001E1BD5" w:rsidRDefault="001E1BD5">
      <w:r w:rsidRPr="00174A09">
        <w:rPr>
          <w:noProof/>
          <w:lang w:eastAsia="ru-RU"/>
        </w:rPr>
        <w:lastRenderedPageBreak/>
        <w:drawing>
          <wp:inline distT="0" distB="0" distL="0" distR="0" wp14:anchorId="4EDDE257" wp14:editId="3140F9B3">
            <wp:extent cx="9251950" cy="5200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BD5" w:rsidSect="001E1B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81" w:rsidRDefault="003A3381">
      <w:r>
        <w:separator/>
      </w:r>
    </w:p>
  </w:endnote>
  <w:endnote w:type="continuationSeparator" w:id="0">
    <w:p w:rsidR="003A3381" w:rsidRDefault="003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Default="003A33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Pr="005374BD" w:rsidRDefault="003A3381" w:rsidP="00EA61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Default="003A33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81" w:rsidRDefault="003A3381">
      <w:r>
        <w:separator/>
      </w:r>
    </w:p>
  </w:footnote>
  <w:footnote w:type="continuationSeparator" w:id="0">
    <w:p w:rsidR="003A3381" w:rsidRDefault="003A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Default="00F8689E" w:rsidP="00EA6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291" w:rsidRDefault="003A33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Default="003A3381" w:rsidP="00EA6106">
    <w:pPr>
      <w:pStyle w:val="a6"/>
      <w:framePr w:wrap="around" w:vAnchor="text" w:hAnchor="margin" w:xAlign="center" w:y="1"/>
      <w:rPr>
        <w:rStyle w:val="a8"/>
      </w:rPr>
    </w:pPr>
  </w:p>
  <w:p w:rsidR="00084291" w:rsidRPr="00C910BE" w:rsidRDefault="003A3381" w:rsidP="00EA6106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1" w:rsidRDefault="003A33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FE"/>
    <w:multiLevelType w:val="hybridMultilevel"/>
    <w:tmpl w:val="8474C5F2"/>
    <w:lvl w:ilvl="0" w:tplc="7890BE3E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27F"/>
    <w:multiLevelType w:val="multilevel"/>
    <w:tmpl w:val="D0889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3CB64E9"/>
    <w:multiLevelType w:val="hybridMultilevel"/>
    <w:tmpl w:val="39EEF13E"/>
    <w:lvl w:ilvl="0" w:tplc="987C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0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6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41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64AB0"/>
    <w:multiLevelType w:val="hybridMultilevel"/>
    <w:tmpl w:val="F6469AD4"/>
    <w:lvl w:ilvl="0" w:tplc="46AC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0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6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A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8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977C75"/>
    <w:multiLevelType w:val="multilevel"/>
    <w:tmpl w:val="E0AA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95425"/>
    <w:multiLevelType w:val="multilevel"/>
    <w:tmpl w:val="B75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5"/>
    <w:rsid w:val="000E7606"/>
    <w:rsid w:val="000F4000"/>
    <w:rsid w:val="001E1BD5"/>
    <w:rsid w:val="002850AC"/>
    <w:rsid w:val="002D4F14"/>
    <w:rsid w:val="002E773C"/>
    <w:rsid w:val="003A3381"/>
    <w:rsid w:val="00403A1E"/>
    <w:rsid w:val="004D702D"/>
    <w:rsid w:val="0056347F"/>
    <w:rsid w:val="0059783B"/>
    <w:rsid w:val="008B4D2B"/>
    <w:rsid w:val="00AD6889"/>
    <w:rsid w:val="00BA16E2"/>
    <w:rsid w:val="00CF6F22"/>
    <w:rsid w:val="00D87B72"/>
    <w:rsid w:val="00D9316C"/>
    <w:rsid w:val="00E269FB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547F38-2C0C-4B2B-AC74-C71E803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E1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rsid w:val="001E1BD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1E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1BD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E1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E1BD5"/>
  </w:style>
  <w:style w:type="paragraph" w:styleId="a9">
    <w:name w:val="footer"/>
    <w:basedOn w:val="a"/>
    <w:link w:val="aa"/>
    <w:rsid w:val="001E1BD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E1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BD5"/>
    <w:pPr>
      <w:ind w:left="720"/>
      <w:contextualSpacing/>
    </w:pPr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B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BD5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semiHidden/>
    <w:unhideWhenUsed/>
    <w:rsid w:val="00403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Шеляпина Марина</cp:lastModifiedBy>
  <cp:revision>2</cp:revision>
  <cp:lastPrinted>2018-08-14T06:08:00Z</cp:lastPrinted>
  <dcterms:created xsi:type="dcterms:W3CDTF">2018-08-15T08:40:00Z</dcterms:created>
  <dcterms:modified xsi:type="dcterms:W3CDTF">2018-08-15T08:40:00Z</dcterms:modified>
</cp:coreProperties>
</file>